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r>
        <w:rPr>
          <w:sz w:val="32"/>
          <w:szCs w:val="32"/>
        </w:rPr>
        <w:t>Simulacija djelovanja u području klime: zemlje u usponu</w:t>
      </w:r>
    </w:p>
    <w:p w:rsidR="00A27D58" w:rsidRPr="00CD0414" w:rsidRDefault="00A27D58" w:rsidP="00CD0414">
      <w:pPr>
        <w:pStyle w:val="Heading110"/>
        <w:widowControl/>
        <w:spacing w:after="0"/>
        <w:rPr>
          <w:sz w:val="32"/>
          <w:szCs w:val="32"/>
        </w:rPr>
      </w:pPr>
      <w:r>
        <w:rPr>
          <w:noProof/>
          <w:sz w:val="32"/>
          <w:szCs w:val="32"/>
          <w:lang w:val="en-GB" w:eastAsia="en-GB"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684A61" w:rsidP="00CD0414">
      <w:pPr>
        <w:pStyle w:val="Heading210"/>
        <w:widowControl/>
        <w:shd w:val="clear" w:color="auto" w:fill="auto"/>
        <w:tabs>
          <w:tab w:val="left" w:pos="994"/>
        </w:tabs>
        <w:spacing w:before="0"/>
      </w:pPr>
      <w:r>
        <w:t>Pripremljeno za:</w:t>
      </w:r>
      <w:r>
        <w:tab/>
        <w:t>Glavne pregovarače u ime zemalja u usponu</w:t>
      </w:r>
    </w:p>
    <w:p w:rsidR="00BB2F58" w:rsidRPr="00CD0414" w:rsidRDefault="00684A61" w:rsidP="00CD0414">
      <w:pPr>
        <w:pStyle w:val="Bodytext20"/>
        <w:widowControl/>
        <w:shd w:val="clear" w:color="auto" w:fill="auto"/>
        <w:ind w:left="3600" w:right="240" w:firstLine="0"/>
      </w:pPr>
      <w:r>
        <w:t>(Kina, Indija, Indonezija, Brazil, Meksiko, Južna Afrika)</w:t>
      </w:r>
    </w:p>
    <w:p w:rsidR="00BB2F58" w:rsidRPr="00CD0414" w:rsidRDefault="00684A61" w:rsidP="00CD0414">
      <w:pPr>
        <w:pStyle w:val="Heading210"/>
        <w:widowControl/>
        <w:shd w:val="clear" w:color="auto" w:fill="auto"/>
        <w:tabs>
          <w:tab w:val="left" w:pos="994"/>
        </w:tabs>
        <w:spacing w:before="0"/>
      </w:pPr>
      <w:r>
        <w:t>Predmet:</w:t>
      </w:r>
      <w:r>
        <w:tab/>
        <w:t>Pripreme za sastanak na vrhu o djelovanju u području klime</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A27D58" w:rsidP="00CD0414">
      <w:pPr>
        <w:pStyle w:val="Heading210"/>
        <w:widowControl/>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Dobrodošli na sastanak na vrhu o klimi. Glavni tajnik UN-a pozvao je vas i vodeće ličnosti iz svih relevantnih skupina dionika da zajedno radite na uspješnom rješavanju pitanja klimatskih promjena. Glavni tajnik u pozivu je poručio: „Krizna situacija u pogledu klime bitka je koju zasad gubimo, ali koju bismo mogli dobiti [...] Najbolji znanstveni izvori [...] upozoravaju nas da će povećanje temperature za više od 1,5°C nanijeti nepopravljivu štetu ekosustavima o kojima ovisimo [...] Međutim, znanost nam govori i da nije prekasno. Možemo uspjeti [...] No za to će biti potrebne temeljite promjene u svim aspektima društva: u načinu na koji proizvodimo hranu i gorivo, u načinu na koji koristimo zemljište i u vrsti energije koja se koristi u gospodarstvu [...] Ako djelujemo zajedno, nitko neće biti zapostavljen.”</w:t>
      </w:r>
    </w:p>
    <w:p w:rsidR="00BB2F58" w:rsidRPr="00CD0414" w:rsidRDefault="00684A61" w:rsidP="00CD0414">
      <w:pPr>
        <w:pStyle w:val="Bodytext20"/>
        <w:widowControl/>
        <w:shd w:val="clear" w:color="auto" w:fill="auto"/>
        <w:spacing w:line="269" w:lineRule="exact"/>
        <w:ind w:firstLine="0"/>
        <w:jc w:val="both"/>
      </w:pPr>
      <w:r>
        <w:t xml:space="preserve">Cilj je sastanka na vrhu pripremiti plan kojim bi se globalno zagrijavanje ograničilo na manje od 2°C [3,6°F] iznad predindustrijskih razina i nastojalo zadržati na 1,5°C [2,7°F], što su ujedno međunarodne ciljne vrijednosti formalno navedene u Pariškom klimatskom sporazumu. </w:t>
      </w:r>
      <w:r>
        <w:rPr>
          <w:color w:val="0000FF"/>
        </w:rPr>
        <w:t>Znanstvene činjenice</w:t>
      </w:r>
      <w:r>
        <w:t xml:space="preserve"> su jasne: zagrijavanje veće od te razine imat će katastrofalne i nepovratne posljedice koje će ugroziti zdravlje, prosperitet i život ljudi u svim zemljama.</w:t>
      </w:r>
    </w:p>
    <w:p w:rsidR="00BB2F58" w:rsidRPr="00CD0414" w:rsidRDefault="00684A61" w:rsidP="00CD0414">
      <w:pPr>
        <w:pStyle w:val="Bodytext20"/>
        <w:widowControl/>
        <w:shd w:val="clear" w:color="auto" w:fill="auto"/>
        <w:spacing w:line="269" w:lineRule="exact"/>
        <w:ind w:firstLine="0"/>
        <w:jc w:val="both"/>
      </w:pPr>
      <w:r>
        <w:t>Vi zastupate (gore navedene) najveće zemlje na svijetu čija gospodarstva se najbrže razvijaju. Ukupan je broj stanovnika zemalja koje predstavljate gotovo 3,5 milijardi, odnosno oko 45 % od 7,7 milijardi ljudi u svijetu. Međutim, u tim zemljama ostvaruje se samo oko 25 % svjetske gospodarske proizvodnje, uz niži BDP (bruto domaći proizvod) po stanovniku i mnogo više siromaštva nego u razvijenim zemljama.</w:t>
      </w:r>
    </w:p>
    <w:p w:rsidR="00BB2F58" w:rsidRPr="00CD0414" w:rsidRDefault="00684A61" w:rsidP="00CD0414">
      <w:pPr>
        <w:pStyle w:val="Bodytext20"/>
        <w:widowControl/>
        <w:shd w:val="clear" w:color="auto" w:fill="auto"/>
        <w:ind w:firstLine="0"/>
        <w:jc w:val="both"/>
      </w:pPr>
      <w:r>
        <w:t>Prioriteti koje želite uključiti u javne politike navedeni su u nastavku, no možete iznijeti ili blokirati bilo koji prijedlog.</w:t>
      </w:r>
    </w:p>
    <w:p w:rsidR="00BB2F58" w:rsidRPr="00CD0414" w:rsidRDefault="00684A61" w:rsidP="00CD0414">
      <w:pPr>
        <w:pStyle w:val="Heading210"/>
        <w:widowControl/>
        <w:numPr>
          <w:ilvl w:val="0"/>
          <w:numId w:val="1"/>
        </w:numPr>
        <w:shd w:val="clear" w:color="auto" w:fill="auto"/>
        <w:tabs>
          <w:tab w:val="left" w:pos="362"/>
        </w:tabs>
        <w:spacing w:before="0" w:line="269" w:lineRule="exact"/>
      </w:pPr>
      <w:r>
        <w:t>Subvencionirati obnovljivu energiju (npr. solarnu energiju, energiju vjetra, geotermalnu energiju i hidroenergiju te skladištenje energije).</w:t>
      </w:r>
    </w:p>
    <w:p w:rsidR="00BB2F58" w:rsidRPr="00CD0414" w:rsidRDefault="00684A61" w:rsidP="00CD0414">
      <w:pPr>
        <w:pStyle w:val="Bodytext20"/>
        <w:widowControl/>
        <w:shd w:val="clear" w:color="auto" w:fill="auto"/>
        <w:spacing w:line="269" w:lineRule="exact"/>
        <w:ind w:left="380" w:firstLine="0"/>
        <w:jc w:val="both"/>
      </w:pPr>
      <w:r>
        <w:rPr>
          <w:rStyle w:val="Bodytext23"/>
        </w:rPr>
        <w:t>Industrija obnovljive energije brzo raste, ali i dalje opskrbljuje svijet s manje od 5 % energije. Subvencije će pomoći da se te industrije razviju, pri čemu će se u vašim zemljama stvarati nova radna mjesta (ako uspijete razviti tehnologije za energiju vjetra i sunca te tehnologiju baterija brže od razvijenih zemalja). Tehnologije za skladištenje (npr. baterije, toplinsko skladištenje, reverzibilne hidroelektrane) i za „pametnu mrežu” električne energije omogućuju da se energija iz različitih obnovljivih izvora, poput vjetra i sunca, uključi u energetski sustav, a da pritom opskrba električnom energijom bude osigurana 24 sata na dan.</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 xml:space="preserve">Smanjiti emisije metana, dušikova oksida </w:t>
      </w:r>
      <w:r w:rsidR="00607CF2">
        <w:t xml:space="preserve">i drugih stakleničkih plinova. </w:t>
      </w:r>
      <w:r>
        <w:t>CO</w:t>
      </w:r>
      <w:r>
        <w:rPr>
          <w:vertAlign w:val="subscript"/>
        </w:rPr>
        <w:t>2</w:t>
      </w:r>
      <w:r>
        <w:rPr>
          <w:b w:val="0"/>
        </w:rPr>
        <w:t xml:space="preserve"> je najpoznatiji staklenički plin, ali drugi plinovi uzrokuju oko četvrtine globalnog zagrijavanja, primjerice metan (CH</w:t>
      </w:r>
      <w:r>
        <w:rPr>
          <w:b w:val="0"/>
          <w:vertAlign w:val="subscript"/>
        </w:rPr>
        <w:t>4</w:t>
      </w:r>
      <w:r>
        <w:rPr>
          <w:b w:val="0"/>
        </w:rPr>
        <w:t>), dušikov oksid (N</w:t>
      </w:r>
      <w:r>
        <w:rPr>
          <w:b w:val="0"/>
          <w:vertAlign w:val="subscript"/>
        </w:rPr>
        <w:t>2</w:t>
      </w:r>
      <w:r>
        <w:rPr>
          <w:b w:val="0"/>
        </w:rPr>
        <w:t>O) i velik broj klorofluorougljika i drugih fluoriranih spojeva (takozvani F-plinovi). Ako usporedimo učinak pojedinačnih molekula, tijekom idućih 100 godina mnogi staklenički plinovi doprinijet će globalnom zagrijavanju desecima, stotinama ili čak tisućama puta više od CO</w:t>
      </w:r>
      <w:r>
        <w:rPr>
          <w:b w:val="0"/>
          <w:vertAlign w:val="subscript"/>
        </w:rPr>
        <w:t>2</w:t>
      </w:r>
      <w:r>
        <w:rPr>
          <w:b w:val="0"/>
        </w:rPr>
        <w:t>. Koncentracije tih plinova danas nisu visoke, ali se brzo povećavaju.</w:t>
      </w:r>
    </w:p>
    <w:p w:rsidR="00BB2F58" w:rsidRPr="00CD0414" w:rsidRDefault="00684A61" w:rsidP="005E011E">
      <w:pPr>
        <w:pStyle w:val="Bodytext20"/>
        <w:keepNext/>
        <w:keepLines/>
        <w:widowControl/>
        <w:numPr>
          <w:ilvl w:val="0"/>
          <w:numId w:val="1"/>
        </w:numPr>
        <w:shd w:val="clear" w:color="auto" w:fill="auto"/>
        <w:tabs>
          <w:tab w:val="left" w:pos="362"/>
        </w:tabs>
        <w:spacing w:line="269" w:lineRule="exact"/>
        <w:ind w:left="380" w:hanging="380"/>
        <w:jc w:val="both"/>
      </w:pPr>
      <w:bookmarkStart w:id="0" w:name="_GoBack"/>
      <w:r>
        <w:rPr>
          <w:rStyle w:val="Bodytext2Bold"/>
        </w:rPr>
        <w:lastRenderedPageBreak/>
        <w:t xml:space="preserve">Smanjiti deforestaciju. </w:t>
      </w:r>
      <w:r>
        <w:t xml:space="preserve">Deforestacija (krčenje šuma) trenutačno uzrokuje oko 15 % emisija stakleničkih plinova. Do velikog dijela deforestacije dolazi u tropskim šumama zemalja koje zastupate, uključujući sliv rijeke Amazone, Kinu, Indiju i Indoneziju. Štiteći šume štite se i opskrba slatkom vodom, prirodni </w:t>
      </w:r>
      <w:bookmarkEnd w:id="0"/>
      <w:r>
        <w:t>resursi i biološka raznolikost. Međutim, ograničavanje deforestacije također smanjuje potencijal korištenja zemljišta za sječu, proizvodnju hrane i druge važne svrhe.</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Razmotrite mogućnost pošumljavanja. </w:t>
      </w:r>
      <w:r>
        <w:t>Pošumljavanje je sađenje novih šuma na zemljištu na kojem nema drveća; u nekim slučajevima to je zemljište bilo iskrčeno ili degradirano. Ako se provodi u velikim razmjerima, pošumljavanje bi moglo zauzeti zemljište potrebno za usjeve ili uzgoj stoke, zbog čega bi se povećale cijene hrane. Razmislite o tome koliko je zemljišta potrebno za politike pošumljavanja koje vi i druge skupine predlažete.</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rPr>
          <w:b/>
        </w:rPr>
        <w:t>Razmotrite mogućnost određivanja cijene za emisije CO</w:t>
      </w:r>
      <w:r>
        <w:rPr>
          <w:b/>
          <w:vertAlign w:val="subscript"/>
        </w:rPr>
        <w:t>2</w:t>
      </w:r>
      <w:r>
        <w:rPr>
          <w:b/>
        </w:rPr>
        <w:t>.</w:t>
      </w:r>
      <w:r>
        <w:t xml:space="preserve"> Fosilna goriva i dalje dominiraju u svjetskom energetskom sustavu, a CO</w:t>
      </w:r>
      <w:r>
        <w:rPr>
          <w:vertAlign w:val="subscript"/>
        </w:rPr>
        <w:t>2</w:t>
      </w:r>
      <w:r>
        <w:t xml:space="preserve"> koji ispuštaju predstavlja daleko najveći izvor emisija stakleničkih plinova koji doprinosi klimatskim promjenama. Tržišne cijene trenutno ne uključuju ekološku i socijalnu štetu koju fosilna goriva uzrokuju (odnosno njihov takozvani „negativni vanjski učinak”). Još gore, vlade diljem svijeta (uključujući mnoge u zemljama koje zastupate) industriji fosilnih goriva daju subvencije u vrijednosti od 775 milijardi do 1 bilijuna USD godišnje. Ekonomisti se slažu oko toga da je „određivanje cijene ugljika“ najbolji način za smanjenje globalnih emisija stakleničkih plinova. Razmotrite mogućnost uvođenja cijene ugljika, koja bi se mogla postupno uvoditi kako bi se industriji i potrošačima dalo dovoljno vremena da se prilagode. Prihodi od toga mogu se koristiti u različite svrhe: kao naknada za potrošače, za pokrivanje dijela troškova drugih politika ili za smanjenje proračunskog deficita. Iako je u nekoliko zemalja koje zastupate uvedena cijena ugljika ili su smanjene subvencije za fosilna goriva, cijene ugljika daleko su niže od cijene koje preporučuju mnogi ekonomisti, odnosno 30 – 50 USD po toni CO</w:t>
      </w:r>
      <w:r>
        <w:rPr>
          <w:vertAlign w:val="subscript"/>
        </w:rPr>
        <w:t>2</w:t>
      </w:r>
      <w:r>
        <w:t xml:space="preserve"> ili više. Kina na svom domaćem tržištu koristi pristup trgovanja emisijama ugljika uz kvote zbog kojeg će se cijena emisija CO</w:t>
      </w:r>
      <w:r>
        <w:rPr>
          <w:vertAlign w:val="subscript"/>
        </w:rPr>
        <w:t>2</w:t>
      </w:r>
      <w:r>
        <w:t xml:space="preserve"> povećati, ali druge zemlje u vašoj skupini to nisu učinile. Međutim, ne možete djelovati prebrzo. Srednja klasa u zemljama koje zastupa</w:t>
      </w:r>
      <w:r w:rsidR="00607CF2">
        <w:t>te želi da joj postanu dostupni</w:t>
      </w:r>
      <w:r>
        <w:t xml:space="preserve"> proizvodi i usluge koje stanovništvo razvijenih zemalja uzima zdravo za gotovo (automobile, klimatizaciju, putovanja zrakoplovom itd.), dok siromašni žele pouzdanu opskrbu električnom energijom, čistu vodu, hranu, zdravstvenu skrb, pristojno stanovanje i druge osnovne ljudske potrebe. Povećanje troškova energije imalo bi velik negativan utjecaj na obje skupine.</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Razmotrite mogućnost oporezivanja ugljena. </w:t>
      </w:r>
      <w:r>
        <w:t>Mnoge od zemalja koje zastupate otvaraju nove rudnike ugljena i elektrane na ugljen iako je ugljen gorivo koje ispušta najviše ugljika, a usto i uzrokuje velik dio onečišćenja zraka koje šteti milijunima osoba u vašim zemljama. Ako uvedete porez ili dodatne propise za ugljen, ili ga čak postupno izbacite iz uporabe, mogli biste brzo smanjiti emisije CO</w:t>
      </w:r>
      <w:r>
        <w:rPr>
          <w:vertAlign w:val="subscript"/>
        </w:rPr>
        <w:t>2</w:t>
      </w:r>
      <w:r>
        <w:t xml:space="preserve"> i opasnost od onečišćenja zraka te poboljšati javno zdravlje.</w:t>
      </w:r>
    </w:p>
    <w:p w:rsidR="00BB2F58" w:rsidRPr="00CD0414" w:rsidRDefault="00684A61" w:rsidP="00CD0414">
      <w:pPr>
        <w:pStyle w:val="Bodytext50"/>
        <w:widowControl/>
        <w:shd w:val="clear" w:color="auto" w:fill="auto"/>
        <w:spacing w:before="0"/>
      </w:pPr>
      <w:r>
        <w:t>Dodatne informacije koje je potrebno uzeti u obzir</w:t>
      </w:r>
    </w:p>
    <w:p w:rsidR="00BB2F58" w:rsidRPr="00CD0414" w:rsidRDefault="00684A61" w:rsidP="00CD0414">
      <w:pPr>
        <w:pStyle w:val="Bodytext20"/>
        <w:widowControl/>
        <w:shd w:val="clear" w:color="auto" w:fill="auto"/>
        <w:spacing w:line="269" w:lineRule="exact"/>
        <w:ind w:firstLine="0"/>
        <w:jc w:val="both"/>
      </w:pPr>
      <w:r>
        <w:t>Vaša se gospodarstva trenutno nalaze u konfliktnom razdoblju obilježenom međusobno suprotstavljenim trendovima. Zemlje koje zastupate u velikoj mjeri ovise o fosilnim gorivima, uključujući ugljen, te one danas ispuštaju 40 % globalnih emisija stakleničkih plinova, pri čemu se samo iz Kine ispušta otprilike 28 % emisija. Zemlje iz vaše skupine i druge zemlje u razvoju zajedno su odgovorne za oko 64 % današnjih globalnih emisija stakleničkih plinova iako su emisije po stanovniku u tim zemljama manje nego u razvijenim zemljama. No razvijene zemlje su one koje su kumulativno stvorile većinu stakleničkih plinova koje su dovele do klimatske krize. Smatrate da one stoga imaju moralnu odgovornost smanjiti svoje emisije i da politike za borbu protiv klimatskih promjena ne smiju usporiti vaš gospodarski razvoj i oslabiti vaše napore da stotine milijuna vaših građana izbavite iz siromaštva.</w:t>
      </w:r>
    </w:p>
    <w:p w:rsidR="00BB2F58" w:rsidRPr="00CD0414" w:rsidRDefault="00684A61" w:rsidP="00CD0414">
      <w:pPr>
        <w:pStyle w:val="Bodytext20"/>
        <w:widowControl/>
        <w:shd w:val="clear" w:color="auto" w:fill="auto"/>
        <w:spacing w:line="269" w:lineRule="exact"/>
        <w:ind w:firstLine="0"/>
        <w:jc w:val="both"/>
      </w:pPr>
      <w:r>
        <w:lastRenderedPageBreak/>
        <w:t>S druge strane, uviđate da klimatske promjene predstavljaju ozbiljnu opasnost za blagostanje, zdravlje i život vaših građana. Onečišćenje zraka prouzročeno fosilnim gorivima godišnje uzrokuje ozbiljne bolesti i milijune slučajeva prerane smrti u vašim zemljama. Podizanje razine mora, ekstremni vremenski uvjeti, suše, pad prinosa usjeva i druge štete uzrokovane klimatskim promjenama sve češće potiču sukobe i migracije te ugrožavaju vašu nacionalnu sigurnosti i legitimnost vaših vlada.</w:t>
      </w:r>
    </w:p>
    <w:p w:rsidR="00BB2F58" w:rsidRPr="00CD0414" w:rsidRDefault="00684A61" w:rsidP="00CD0414">
      <w:pPr>
        <w:pStyle w:val="Bodytext20"/>
        <w:widowControl/>
        <w:shd w:val="clear" w:color="auto" w:fill="auto"/>
        <w:spacing w:line="269" w:lineRule="exact"/>
        <w:ind w:firstLine="0"/>
        <w:jc w:val="both"/>
      </w:pPr>
      <w:r>
        <w:t>Industrija fosilnih goriva protivi se promjenama, ali zemlje i poduzeća koje zastupate uviđaju da klimatski prihvatljive politike mogu biti dobre za vaše gospodarstvo. Energetska učinkovitost i obnovljivi izvori energije poput vjetra i sunca često su profitabilni, stvaraju radna mjesta i poboljšavaju javno zdravlje. Premda nastavljate graditi nove elektrane na ugljen, u konkurenciji ste s razvijenim zemljama za dominaciju na brzorastućem tržištu obnovljive energije, električnih vozila te učinkovitih zgrada i industrijskih procesa.</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 xml:space="preserve">Pripremili: Climate Interactive, MIT Sloan School of Management Sustainability Initiative, ESB Business School i UMAS Lowell Climate Change Initiative. Posljednji put ažurirano u kolovozu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584957"/>
    <w:rsid w:val="005E011E"/>
    <w:rsid w:val="00607CF2"/>
    <w:rsid w:val="00684A61"/>
    <w:rsid w:val="007B0D28"/>
    <w:rsid w:val="007D288D"/>
    <w:rsid w:val="00816C33"/>
    <w:rsid w:val="00996C61"/>
    <w:rsid w:val="00A27D58"/>
    <w:rsid w:val="00BB2F58"/>
    <w:rsid w:val="00C06D50"/>
    <w:rsid w:val="00CD0414"/>
    <w:rsid w:val="00D2381B"/>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5FFDE"/>
  <w15:docId w15:val="{77D67219-4C8C-419D-A88A-8AF1246C0E9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hr-H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hr-H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hr-H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hr-HR"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hr-H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hr-H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hr-H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CTJJHAUHWN5E-644613129-2974</_dlc_DocId>
    <_dlc_DocIdUrl xmlns="bfc960a6-20da-4c94-8684-71380fca093b">
      <Url>http://dm2016/eesc/2019/_layouts/15/DocIdRedir.aspx?ID=CTJJHAUHWN5E-644613129-2974</Url>
      <Description>CTJJHAUHWN5E-644613129-2974</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27A622-115A-4218-8DA5-F8F4E049A92C}"/>
</file>

<file path=customXml/itemProps2.xml><?xml version="1.0" encoding="utf-8"?>
<ds:datastoreItem xmlns:ds="http://schemas.openxmlformats.org/officeDocument/2006/customXml" ds:itemID="{D17505C9-BFB4-4F4E-A234-2F0ED8C4F7DD}"/>
</file>

<file path=customXml/itemProps3.xml><?xml version="1.0" encoding="utf-8"?>
<ds:datastoreItem xmlns:ds="http://schemas.openxmlformats.org/officeDocument/2006/customXml" ds:itemID="{0A536A48-9BD6-47F6-BA83-7372CB172181}"/>
</file>

<file path=customXml/itemProps4.xml><?xml version="1.0" encoding="utf-8"?>
<ds:datastoreItem xmlns:ds="http://schemas.openxmlformats.org/officeDocument/2006/customXml" ds:itemID="{9255DE95-F5B5-4CEA-8873-B4FD5D45FE21}"/>
</file>

<file path=docProps/app.xml><?xml version="1.0" encoding="utf-8"?>
<Properties xmlns="http://schemas.openxmlformats.org/officeDocument/2006/extended-properties" xmlns:vt="http://schemas.openxmlformats.org/officeDocument/2006/docPropsVTypes">
  <Template>Styles</Template>
  <TotalTime>1</TotalTime>
  <Pages>3</Pages>
  <Words>1292</Words>
  <Characters>7366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Simulacija djelovanja u području klime: zemlje u usponu</dc:title>
  <dc:creator>Briski Petra</dc:creator>
  <cp:keywords>EESC-2019-05163-07-00-INFO-TRA-EN</cp:keywords>
  <dc:description>Rapporteur:  - Original language: EN - Date of document: 10/12/2019 - Date of meeting:  - External documents:  - Administrator: MME LAHOUSSE Chloé</dc:description>
  <cp:lastModifiedBy>Petra Briski</cp:lastModifiedBy>
  <cp:revision>4</cp:revision>
  <dcterms:created xsi:type="dcterms:W3CDTF">2019-12-10T10:50:00Z</dcterms:created>
  <dcterms:modified xsi:type="dcterms:W3CDTF">2019-12-10T10:51:00Z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9ca5e5ef-8d21-43ab-8e23-5b0ef3171d47</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PL|1e03da61-4678-4e07-b136-b5024ca9197b;FI|87606a43-d45f-42d6-b8c9-e1a3457db5b7;ME|925b3da5-5ac0-4b3c-928c-6ef66a5c9b3c;EL|6d4f4d51-af9b-4650-94b4-4276bee85c91;HU|6b229040-c589-4408-b4c1-4285663d20a8;SR|7f3a1d13-b985-4bfd-981e-afe31377edff;LV|46f7e311-5d9f-4663-b433-18aeccb7ace7;PT|50ccc04a-eadd-42ae-a0cb-acaf45f812ba;IT|0774613c-01ed-4e5d-a25d-11d2388de825;NL|55c6556c-b4f4-441d-9acf-c498d4f838bd;MK|34ce48bb-063e-4413-a932-50853dc71c5c;BG|1a1b3951-7821-4e6a-85f5-5673fc08bd2c;DA|5d49c027-8956-412b-aa16-e85a0f96ad0e;ET|ff6c3f4c-b02c-4c3c-ab07-2c37995a7a0a;FR|d2afafd3-4c81-4f60-8f52-ee33f2f54ff3;SQ|5ac17240-8d11-45ec-9893-659b209d7a00;GA|762d2456-c427-4ecb-b312-af3dad8e258c;CS|72f9705b-0217-4fd3-bea2-cbc7ed80e26e;TR|6e4ededd-04c4-4fa0-94e0-1028050302d5;LT|a7ff5ce7-6123-4f68-865a-a57c31810414;EN|f2175f21-25d7-44a3-96da-d6a61b075e1b;SV|c2ed69e7-a339-43d7-8f22-d93680a92aa0;ES|e7a6b05b-ae16-40c8-add9-68b64b03aeba;MT|7df99101-6854-4a26-b53a-b88c0da02c26;SL|98a412ae-eb01-49e9-ae3d-585a81724cfc;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63;#MT|7df99101-6854-4a26-b53a-b88c0da02c26;#162;#TR|6e4ededd-04c4-4fa0-94e0-1028050302d5;#72;#GA|762d2456-c427-4ecb-b312-af3dad8e258c;#246;#ME|925b3da5-5ac0-4b3c-928c-6ef66a5c9b3c;#154;#SQ|5ac17240-8d11-45ec-9893-659b209d7a00;#153;#SR|7f3a1d13-b985-4bfd-981e-afe31377edff;#152;#MK|34ce48bb-063e-4413-a932-50853dc71c5c;#62;#FI|87606a43-d45f-42d6-b8c9-e1a3457db5b7;#60;#HU|6b229040-c589-4408-b4c1-4285663d20a8;#58;#LV|46f7e311-5d9f-4663-b433-18aeccb7ace7;#64;#PT|50ccc04a-eadd-42ae-a0cb-acaf45f812ba;#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65;#ET|ff6c3f4c-b02c-4c3c-ab07-2c37995a7a0a;#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59;#HR|2f555653-ed1a-4fe6-8362-9082d95989e5</vt:lpwstr>
  </property>
</Properties>
</file>